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2E" w:rsidRDefault="00DD3BE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评分表</w:t>
      </w:r>
    </w:p>
    <w:p w:rsidR="0049092E" w:rsidRDefault="0049092E"/>
    <w:tbl>
      <w:tblPr>
        <w:tblpPr w:leftFromText="180" w:rightFromText="180" w:vertAnchor="text" w:horzAnchor="page" w:tblpXSpec="center" w:tblpY="142"/>
        <w:tblOverlap w:val="never"/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06"/>
        <w:gridCol w:w="551"/>
        <w:gridCol w:w="557"/>
        <w:gridCol w:w="6169"/>
      </w:tblGrid>
      <w:tr w:rsidR="0029484C" w:rsidTr="0029484C">
        <w:trPr>
          <w:trHeight w:val="582"/>
          <w:tblHeader/>
          <w:jc w:val="center"/>
        </w:trPr>
        <w:tc>
          <w:tcPr>
            <w:tcW w:w="362" w:type="pct"/>
            <w:vAlign w:val="center"/>
          </w:tcPr>
          <w:p w:rsidR="0029484C" w:rsidRDefault="0029484C">
            <w:pPr>
              <w:spacing w:line="400" w:lineRule="exact"/>
              <w:ind w:leftChars="1" w:left="628" w:hangingChars="297" w:hanging="6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12" w:type="pct"/>
            <w:vAlign w:val="center"/>
          </w:tcPr>
          <w:p w:rsidR="0029484C" w:rsidRDefault="0029484C">
            <w:pPr>
              <w:spacing w:line="400" w:lineRule="exact"/>
              <w:ind w:leftChars="1" w:left="628" w:hangingChars="297" w:hanging="6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评审因素</w:t>
            </w:r>
          </w:p>
        </w:tc>
        <w:tc>
          <w:tcPr>
            <w:tcW w:w="613" w:type="pct"/>
            <w:gridSpan w:val="2"/>
            <w:vAlign w:val="center"/>
          </w:tcPr>
          <w:p w:rsidR="0029484C" w:rsidRDefault="0029484C">
            <w:pPr>
              <w:spacing w:line="400" w:lineRule="exact"/>
              <w:ind w:leftChars="1" w:left="628" w:hangingChars="297" w:hanging="6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spacing w:line="400" w:lineRule="exact"/>
              <w:ind w:leftChars="1" w:left="628" w:hangingChars="297" w:hanging="626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评分标准</w:t>
            </w:r>
          </w:p>
        </w:tc>
      </w:tr>
      <w:tr w:rsidR="0029484C" w:rsidTr="00365F8B">
        <w:trPr>
          <w:trHeight w:val="1520"/>
          <w:jc w:val="center"/>
        </w:trPr>
        <w:tc>
          <w:tcPr>
            <w:tcW w:w="362" w:type="pct"/>
            <w:vAlign w:val="center"/>
          </w:tcPr>
          <w:p w:rsidR="0029484C" w:rsidRDefault="0029484C">
            <w:pPr>
              <w:spacing w:line="360" w:lineRule="exact"/>
              <w:ind w:leftChars="-17" w:left="619" w:hangingChars="312" w:hanging="65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612" w:type="pct"/>
            <w:vAlign w:val="center"/>
          </w:tcPr>
          <w:p w:rsidR="0029484C" w:rsidRDefault="0029484C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价格评议（20分）</w:t>
            </w:r>
          </w:p>
        </w:tc>
        <w:tc>
          <w:tcPr>
            <w:tcW w:w="613" w:type="pct"/>
            <w:gridSpan w:val="2"/>
            <w:vAlign w:val="center"/>
          </w:tcPr>
          <w:p w:rsidR="0029484C" w:rsidRDefault="0029484C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</w:t>
            </w:r>
          </w:p>
        </w:tc>
        <w:tc>
          <w:tcPr>
            <w:tcW w:w="3413" w:type="pct"/>
            <w:vAlign w:val="center"/>
          </w:tcPr>
          <w:p w:rsidR="0029484C" w:rsidRDefault="00365F8B">
            <w:pPr>
              <w:pStyle w:val="3"/>
              <w:spacing w:after="0"/>
              <w:ind w:leftChars="0" w:left="0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365F8B">
              <w:rPr>
                <w:rFonts w:ascii="宋体" w:hAnsi="宋体" w:cs="宋体" w:hint="eastAsia"/>
                <w:sz w:val="21"/>
                <w:szCs w:val="21"/>
              </w:rPr>
              <w:t>以满足招标文件要求且投标价格最低的投标报价为评标基准价。投标报价等于评标基准价的得满分</w:t>
            </w:r>
            <w:r w:rsidRPr="00365F8B">
              <w:rPr>
                <w:rFonts w:ascii="宋体" w:hAnsi="宋体" w:cs="宋体"/>
                <w:sz w:val="21"/>
                <w:szCs w:val="21"/>
              </w:rPr>
              <w:t>20</w:t>
            </w:r>
            <w:r w:rsidRPr="00365F8B">
              <w:rPr>
                <w:rFonts w:ascii="宋体" w:hAnsi="宋体" w:cs="宋体" w:hint="eastAsia"/>
                <w:sz w:val="21"/>
                <w:szCs w:val="21"/>
              </w:rPr>
              <w:t>分；其他投标人的价格</w:t>
            </w:r>
            <w:proofErr w:type="gramStart"/>
            <w:r w:rsidRPr="00365F8B">
              <w:rPr>
                <w:rFonts w:ascii="宋体" w:hAnsi="宋体" w:cs="宋体" w:hint="eastAsia"/>
                <w:sz w:val="21"/>
                <w:szCs w:val="21"/>
              </w:rPr>
              <w:t>分统一</w:t>
            </w:r>
            <w:proofErr w:type="gramEnd"/>
            <w:r w:rsidRPr="00365F8B">
              <w:rPr>
                <w:rFonts w:ascii="宋体" w:hAnsi="宋体" w:cs="宋体" w:hint="eastAsia"/>
                <w:sz w:val="21"/>
                <w:szCs w:val="21"/>
              </w:rPr>
              <w:t>按照下列公式</w:t>
            </w:r>
            <w:bookmarkStart w:id="0" w:name="_GoBack"/>
            <w:bookmarkEnd w:id="0"/>
            <w:r w:rsidRPr="00365F8B">
              <w:rPr>
                <w:rFonts w:ascii="宋体" w:hAnsi="宋体" w:cs="宋体" w:hint="eastAsia"/>
                <w:sz w:val="21"/>
                <w:szCs w:val="21"/>
              </w:rPr>
              <w:t>计算：投标报价得分=（评标基准价/投标报价）×</w:t>
            </w:r>
            <w:r w:rsidRPr="00365F8B">
              <w:rPr>
                <w:rFonts w:ascii="宋体" w:hAnsi="宋体" w:cs="宋体"/>
                <w:sz w:val="21"/>
                <w:szCs w:val="21"/>
              </w:rPr>
              <w:t>20</w:t>
            </w:r>
            <w:r w:rsidRPr="00365F8B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29484C" w:rsidTr="0029484C">
        <w:trPr>
          <w:trHeight w:val="631"/>
          <w:jc w:val="center"/>
        </w:trPr>
        <w:tc>
          <w:tcPr>
            <w:tcW w:w="362" w:type="pct"/>
            <w:vMerge w:val="restart"/>
            <w:vAlign w:val="center"/>
          </w:tcPr>
          <w:p w:rsidR="0029484C" w:rsidRDefault="0029484C">
            <w:pPr>
              <w:spacing w:line="360" w:lineRule="exact"/>
              <w:ind w:leftChars="-17" w:left="619" w:hangingChars="312" w:hanging="65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12" w:type="pct"/>
            <w:vMerge w:val="restart"/>
            <w:vAlign w:val="center"/>
          </w:tcPr>
          <w:p w:rsidR="0029484C" w:rsidRDefault="0029484C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技术部分（45分）</w:t>
            </w:r>
          </w:p>
        </w:tc>
        <w:tc>
          <w:tcPr>
            <w:tcW w:w="305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技术响应</w:t>
            </w:r>
          </w:p>
        </w:tc>
        <w:tc>
          <w:tcPr>
            <w:tcW w:w="308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各类软件功能技术指标：完全满足招标文件技术指标要求的计20分，“▲”号条款为重要技术参数负偏离每项扣4分；一般技术条款负偏离每项扣2分，扣完为止；（招标文件技术参数中如有要求提供相关证明的，未提供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的按负偏离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计算，负偏离≥10项视为无效投标。）</w:t>
            </w:r>
          </w:p>
        </w:tc>
      </w:tr>
      <w:tr w:rsidR="0029484C" w:rsidTr="0029484C">
        <w:trPr>
          <w:trHeight w:val="2374"/>
          <w:jc w:val="center"/>
        </w:trPr>
        <w:tc>
          <w:tcPr>
            <w:tcW w:w="362" w:type="pct"/>
            <w:vMerge/>
            <w:vAlign w:val="center"/>
          </w:tcPr>
          <w:p w:rsidR="0029484C" w:rsidRDefault="0029484C">
            <w:pPr>
              <w:spacing w:line="360" w:lineRule="exact"/>
              <w:ind w:leftChars="-17" w:left="619" w:hangingChars="312" w:hanging="6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pct"/>
            <w:vMerge/>
            <w:vAlign w:val="center"/>
          </w:tcPr>
          <w:p w:rsidR="0029484C" w:rsidRDefault="0029484C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技术方案</w:t>
            </w:r>
          </w:p>
        </w:tc>
        <w:tc>
          <w:tcPr>
            <w:tcW w:w="308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10分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adjustRightInd w:val="0"/>
              <w:snapToGrid w:val="0"/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方案内容包括项目需求理解、项目方案设计、系统架构、扩展性等方面。对项目需求理解透彻；项目方案设计考虑完整周全、方案思路表述清晰；项目系统架构、扩展性设计合理并具有一定前瞻性的，以上要求均满足的，计10分；技术方案中</w:t>
            </w:r>
            <w:r>
              <w:rPr>
                <w:rFonts w:ascii="宋体" w:hAnsi="宋体" w:cs="宋体"/>
                <w:szCs w:val="21"/>
              </w:rPr>
              <w:t>有1-2项不完善或者不合理之处的或缺漏项的</w:t>
            </w:r>
            <w:r>
              <w:rPr>
                <w:rFonts w:ascii="宋体" w:hAnsi="宋体" w:cs="宋体" w:hint="eastAsia"/>
                <w:szCs w:val="21"/>
              </w:rPr>
              <w:t>，计7分；</w:t>
            </w:r>
            <w:r>
              <w:rPr>
                <w:rFonts w:ascii="宋体" w:hAnsi="宋体" w:cs="宋体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项不完善或者不合理之处的或缺漏项的</w:t>
            </w:r>
            <w:r>
              <w:rPr>
                <w:rFonts w:ascii="宋体" w:hAnsi="宋体" w:cs="宋体" w:hint="eastAsia"/>
                <w:szCs w:val="21"/>
              </w:rPr>
              <w:t>，计4分；</w:t>
            </w:r>
            <w:r>
              <w:rPr>
                <w:rFonts w:ascii="宋体" w:hAnsi="宋体" w:cs="宋体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项</w:t>
            </w:r>
            <w:r>
              <w:rPr>
                <w:rFonts w:ascii="宋体" w:hAnsi="宋体" w:cs="宋体" w:hint="eastAsia"/>
                <w:szCs w:val="21"/>
              </w:rPr>
              <w:t>及以上</w:t>
            </w:r>
            <w:r>
              <w:rPr>
                <w:rFonts w:ascii="宋体" w:hAnsi="宋体" w:cs="宋体"/>
                <w:szCs w:val="21"/>
              </w:rPr>
              <w:t>不完善或者不合理之处的或缺漏项的</w:t>
            </w:r>
            <w:r>
              <w:rPr>
                <w:rFonts w:ascii="宋体" w:hAnsi="宋体" w:cs="宋体" w:hint="eastAsia"/>
                <w:szCs w:val="21"/>
              </w:rPr>
              <w:t>，计1分。未提供方案不计分。</w:t>
            </w:r>
          </w:p>
        </w:tc>
      </w:tr>
      <w:tr w:rsidR="0029484C" w:rsidTr="0029484C">
        <w:trPr>
          <w:trHeight w:val="274"/>
          <w:jc w:val="center"/>
        </w:trPr>
        <w:tc>
          <w:tcPr>
            <w:tcW w:w="362" w:type="pct"/>
            <w:vMerge/>
            <w:vAlign w:val="center"/>
          </w:tcPr>
          <w:p w:rsidR="0029484C" w:rsidRDefault="0029484C">
            <w:pPr>
              <w:spacing w:line="360" w:lineRule="exact"/>
              <w:ind w:leftChars="-17" w:left="619" w:hangingChars="312" w:hanging="65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2" w:type="pct"/>
            <w:vMerge/>
            <w:vAlign w:val="center"/>
          </w:tcPr>
          <w:p w:rsidR="0029484C" w:rsidRDefault="0029484C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项目实施方案</w:t>
            </w:r>
          </w:p>
        </w:tc>
        <w:tc>
          <w:tcPr>
            <w:tcW w:w="308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项目实施方案，有详细的实施计划、进度安排合理、工作任务明确、有详细的调研方案，能充分保证项目工期和质量；并具有合理的项目组织机构和人员安排、项目团队、系统测试方案及方法科学合理、试运行及验收方案全面，以上内容均满足的，计15分；</w:t>
            </w:r>
            <w:r>
              <w:rPr>
                <w:rFonts w:ascii="宋体" w:hAnsi="宋体" w:cs="宋体"/>
                <w:szCs w:val="21"/>
              </w:rPr>
              <w:t>有1-2项不完善或者不合理之处的或缺漏项的</w:t>
            </w:r>
            <w:r>
              <w:rPr>
                <w:rFonts w:ascii="宋体" w:hAnsi="宋体" w:cs="宋体" w:hint="eastAsia"/>
                <w:szCs w:val="21"/>
              </w:rPr>
              <w:t>，计10分；</w:t>
            </w:r>
            <w:r>
              <w:rPr>
                <w:rFonts w:ascii="宋体" w:hAnsi="宋体" w:cs="宋体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项不完善或者不合理之处的或缺漏项的</w:t>
            </w:r>
            <w:r>
              <w:rPr>
                <w:rFonts w:ascii="宋体" w:hAnsi="宋体" w:cs="宋体" w:hint="eastAsia"/>
                <w:szCs w:val="21"/>
              </w:rPr>
              <w:t>，计5分；</w:t>
            </w:r>
            <w:r>
              <w:rPr>
                <w:rFonts w:ascii="宋体" w:hAnsi="宋体" w:cs="宋体"/>
                <w:szCs w:val="21"/>
              </w:rPr>
              <w:t>有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项</w:t>
            </w:r>
            <w:r>
              <w:rPr>
                <w:rFonts w:ascii="宋体" w:hAnsi="宋体" w:cs="宋体" w:hint="eastAsia"/>
                <w:szCs w:val="21"/>
              </w:rPr>
              <w:t>及以上</w:t>
            </w:r>
            <w:r>
              <w:rPr>
                <w:rFonts w:ascii="宋体" w:hAnsi="宋体" w:cs="宋体"/>
                <w:szCs w:val="21"/>
              </w:rPr>
              <w:t>不完善或者不合理之处的或缺漏项的</w:t>
            </w:r>
            <w:r>
              <w:rPr>
                <w:rFonts w:ascii="宋体" w:hAnsi="宋体" w:cs="宋体" w:hint="eastAsia"/>
                <w:szCs w:val="21"/>
              </w:rPr>
              <w:t>，计1分。未提供方案不计分。</w:t>
            </w:r>
          </w:p>
        </w:tc>
      </w:tr>
      <w:tr w:rsidR="0029484C" w:rsidTr="0029484C">
        <w:trPr>
          <w:trHeight w:val="2157"/>
          <w:jc w:val="center"/>
        </w:trPr>
        <w:tc>
          <w:tcPr>
            <w:tcW w:w="362" w:type="pct"/>
            <w:vMerge w:val="restart"/>
            <w:vAlign w:val="center"/>
          </w:tcPr>
          <w:p w:rsidR="0029484C" w:rsidRDefault="0029484C" w:rsidP="0029484C">
            <w:pPr>
              <w:spacing w:line="360" w:lineRule="exact"/>
              <w:ind w:leftChars="1" w:left="626" w:hangingChars="297" w:hanging="6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  <w:p w:rsidR="0029484C" w:rsidRDefault="0029484C" w:rsidP="0029484C">
            <w:pPr>
              <w:spacing w:line="360" w:lineRule="exact"/>
              <w:ind w:leftChars="1" w:left="626" w:hangingChars="297" w:hanging="624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12" w:type="pct"/>
            <w:vMerge w:val="restart"/>
            <w:vAlign w:val="center"/>
          </w:tcPr>
          <w:p w:rsidR="0029484C" w:rsidRDefault="0029484C">
            <w:pPr>
              <w:spacing w:line="360" w:lineRule="exact"/>
              <w:ind w:leftChars="76" w:left="1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商务部分（35分）</w:t>
            </w:r>
          </w:p>
        </w:tc>
        <w:tc>
          <w:tcPr>
            <w:tcW w:w="305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企业实力</w:t>
            </w:r>
          </w:p>
        </w:tc>
        <w:tc>
          <w:tcPr>
            <w:tcW w:w="308" w:type="pct"/>
            <w:vAlign w:val="center"/>
          </w:tcPr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15分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1、投标人具备软件国家信息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安全等保三级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备案证明，计5分；</w:t>
            </w:r>
          </w:p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2、投标人具有有效的IS09001、ICP备案、IS027001管理体系认证证书、科技型中小企业认证、高新企业证书,每1个证书计1分，最多计5分；</w:t>
            </w:r>
          </w:p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3、投标人提项目负责人有PMP证书的计2份，技术服务团队提供超过半年以上社保缴纳证明的计3分；</w:t>
            </w:r>
          </w:p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（注：以上须提供证书复印件并加盖投标人公章，否则不计分。）</w:t>
            </w:r>
          </w:p>
        </w:tc>
      </w:tr>
      <w:tr w:rsidR="0029484C" w:rsidTr="0029484C">
        <w:trPr>
          <w:trHeight w:val="380"/>
          <w:jc w:val="center"/>
        </w:trPr>
        <w:tc>
          <w:tcPr>
            <w:tcW w:w="362" w:type="pct"/>
            <w:vMerge/>
            <w:vAlign w:val="center"/>
          </w:tcPr>
          <w:p w:rsidR="0029484C" w:rsidRDefault="0029484C" w:rsidP="0029484C">
            <w:pPr>
              <w:spacing w:line="360" w:lineRule="exact"/>
              <w:ind w:leftChars="1" w:left="626" w:hangingChars="297" w:hanging="624"/>
              <w:jc w:val="center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612" w:type="pct"/>
            <w:vMerge/>
            <w:vAlign w:val="center"/>
          </w:tcPr>
          <w:p w:rsidR="0029484C" w:rsidRDefault="0029484C">
            <w:pPr>
              <w:spacing w:line="360" w:lineRule="exact"/>
              <w:ind w:leftChars="76" w:left="16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经营业绩</w:t>
            </w:r>
          </w:p>
        </w:tc>
        <w:tc>
          <w:tcPr>
            <w:tcW w:w="308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10分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自2019年1月1日以来（以合同中甲方签字日期为准）投标人具有类似项目案例的，每提供1份合同复印件计5分，满分为10分（需提供合同复印件，并加盖投标单位公章，否则不计分）。</w:t>
            </w:r>
          </w:p>
        </w:tc>
      </w:tr>
      <w:tr w:rsidR="0029484C" w:rsidTr="0029484C">
        <w:trPr>
          <w:trHeight w:val="2374"/>
          <w:jc w:val="center"/>
        </w:trPr>
        <w:tc>
          <w:tcPr>
            <w:tcW w:w="362" w:type="pct"/>
            <w:vMerge/>
            <w:vAlign w:val="center"/>
          </w:tcPr>
          <w:p w:rsidR="0029484C" w:rsidRDefault="0029484C" w:rsidP="0029484C">
            <w:pPr>
              <w:spacing w:line="360" w:lineRule="exact"/>
              <w:ind w:leftChars="1" w:left="626" w:hangingChars="297" w:hanging="624"/>
              <w:jc w:val="center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612" w:type="pct"/>
            <w:vMerge/>
            <w:vAlign w:val="center"/>
          </w:tcPr>
          <w:p w:rsidR="0029484C" w:rsidRDefault="0029484C">
            <w:pPr>
              <w:spacing w:line="360" w:lineRule="exact"/>
              <w:ind w:leftChars="76" w:left="16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售后服务</w:t>
            </w:r>
            <w:r>
              <w:rPr>
                <w:rFonts w:ascii="宋体" w:hAnsi="宋体" w:cs="宋体" w:hint="eastAsia"/>
                <w:szCs w:val="21"/>
              </w:rPr>
              <w:t>方案</w:t>
            </w:r>
          </w:p>
        </w:tc>
        <w:tc>
          <w:tcPr>
            <w:tcW w:w="308" w:type="pct"/>
            <w:vAlign w:val="center"/>
          </w:tcPr>
          <w:p w:rsidR="0029484C" w:rsidRDefault="0029484C">
            <w:pPr>
              <w:adjustRightInd w:val="0"/>
              <w:snapToGrid w:val="0"/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10分</w:t>
            </w:r>
          </w:p>
        </w:tc>
        <w:tc>
          <w:tcPr>
            <w:tcW w:w="3413" w:type="pct"/>
            <w:vAlign w:val="center"/>
          </w:tcPr>
          <w:p w:rsidR="0029484C" w:rsidRDefault="0029484C">
            <w:pPr>
              <w:pStyle w:val="2"/>
              <w:ind w:leftChars="0" w:left="0" w:firstLine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投标人提供的售后服务方案：培训方案科学合理、培训内容全面；维护期提供售后服务、售后服务的响应时间短、售后服务技术支持到位、系统维护保障措施全面、承诺在维护期内按用户要求及时升级更新系统，以上内容均满足的，计10分；有1-2项不完善或者不合理之处的或缺漏项的，计7分；有3-4项不完善或者不合理之处的或缺漏项的，计4分；有5项及以上不完善或者不合理之处的或缺漏项的，计1分。未提供方案不计分。</w:t>
            </w:r>
          </w:p>
        </w:tc>
      </w:tr>
      <w:tr w:rsidR="0029484C" w:rsidTr="0029484C">
        <w:trPr>
          <w:trHeight w:val="590"/>
          <w:jc w:val="center"/>
        </w:trPr>
        <w:tc>
          <w:tcPr>
            <w:tcW w:w="974" w:type="pct"/>
            <w:gridSpan w:val="2"/>
            <w:vAlign w:val="center"/>
          </w:tcPr>
          <w:p w:rsidR="0029484C" w:rsidRDefault="0029484C" w:rsidP="0029484C">
            <w:pPr>
              <w:spacing w:line="360" w:lineRule="exact"/>
              <w:ind w:leftChars="1" w:left="626" w:hangingChars="297" w:hanging="62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4026" w:type="pct"/>
            <w:gridSpan w:val="3"/>
            <w:vAlign w:val="center"/>
          </w:tcPr>
          <w:p w:rsidR="0029484C" w:rsidRDefault="0029484C" w:rsidP="0029484C">
            <w:pPr>
              <w:spacing w:line="360" w:lineRule="exact"/>
              <w:ind w:firstLineChars="196" w:firstLine="412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49092E" w:rsidRDefault="0049092E"/>
    <w:sectPr w:rsidR="0049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D0" w:rsidRDefault="005F30D0" w:rsidP="0029484C">
      <w:r>
        <w:separator/>
      </w:r>
    </w:p>
  </w:endnote>
  <w:endnote w:type="continuationSeparator" w:id="0">
    <w:p w:rsidR="005F30D0" w:rsidRDefault="005F30D0" w:rsidP="0029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D0" w:rsidRDefault="005F30D0" w:rsidP="0029484C">
      <w:r>
        <w:separator/>
      </w:r>
    </w:p>
  </w:footnote>
  <w:footnote w:type="continuationSeparator" w:id="0">
    <w:p w:rsidR="005F30D0" w:rsidRDefault="005F30D0" w:rsidP="0029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WVkNTUyNTk2MzIxZTQwMDNlZWU4MmQwYWQ4YTcifQ=="/>
  </w:docVars>
  <w:rsids>
    <w:rsidRoot w:val="002B4558"/>
    <w:rsid w:val="00157C52"/>
    <w:rsid w:val="00217234"/>
    <w:rsid w:val="0029484C"/>
    <w:rsid w:val="002B4558"/>
    <w:rsid w:val="002B70F9"/>
    <w:rsid w:val="00365F8B"/>
    <w:rsid w:val="0049092E"/>
    <w:rsid w:val="004B1ADE"/>
    <w:rsid w:val="00510F31"/>
    <w:rsid w:val="005F30D0"/>
    <w:rsid w:val="00682364"/>
    <w:rsid w:val="00807259"/>
    <w:rsid w:val="009B2B64"/>
    <w:rsid w:val="00BC7F8D"/>
    <w:rsid w:val="00DD3BE5"/>
    <w:rsid w:val="00E64FD0"/>
    <w:rsid w:val="0A7777C7"/>
    <w:rsid w:val="601F6C92"/>
    <w:rsid w:val="61E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tabs>
        <w:tab w:val="left" w:pos="720"/>
      </w:tabs>
      <w:ind w:firstLine="420"/>
    </w:pPr>
  </w:style>
  <w:style w:type="paragraph" w:styleId="a3">
    <w:name w:val="Body Text Indent"/>
    <w:basedOn w:val="a"/>
    <w:link w:val="Char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pPr>
      <w:spacing w:after="120"/>
      <w:ind w:leftChars="200" w:left="420"/>
    </w:pPr>
    <w:rPr>
      <w:rFonts w:asciiTheme="minorHAnsi" w:hAnsiTheme="minorHAnsi" w:cstheme="minorBidi"/>
      <w:sz w:val="16"/>
      <w:szCs w:val="16"/>
    </w:rPr>
  </w:style>
  <w:style w:type="character" w:customStyle="1" w:styleId="3Char">
    <w:name w:val="正文文本缩进 3 Char"/>
    <w:link w:val="3"/>
    <w:rPr>
      <w:rFonts w:eastAsia="宋体"/>
      <w:sz w:val="16"/>
      <w:szCs w:val="16"/>
    </w:rPr>
  </w:style>
  <w:style w:type="character" w:customStyle="1" w:styleId="Char">
    <w:name w:val="正文文本缩进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"/>
    <w:link w:val="2"/>
    <w:rPr>
      <w:rFonts w:ascii="Times New Roman" w:eastAsia="宋体" w:hAnsi="Times New Roman" w:cs="Times New Roman"/>
      <w:szCs w:val="24"/>
    </w:rPr>
  </w:style>
  <w:style w:type="character" w:customStyle="1" w:styleId="31">
    <w:name w:val="正文文本缩进 3 字符1"/>
    <w:basedOn w:val="a0"/>
    <w:uiPriority w:val="99"/>
    <w:semiHidden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qFormat/>
    <w:pPr>
      <w:tabs>
        <w:tab w:val="left" w:pos="720"/>
      </w:tabs>
      <w:ind w:firstLine="420"/>
    </w:pPr>
  </w:style>
  <w:style w:type="paragraph" w:styleId="a3">
    <w:name w:val="Body Text Indent"/>
    <w:basedOn w:val="a"/>
    <w:link w:val="Char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pPr>
      <w:spacing w:after="120"/>
      <w:ind w:leftChars="200" w:left="420"/>
    </w:pPr>
    <w:rPr>
      <w:rFonts w:asciiTheme="minorHAnsi" w:hAnsiTheme="minorHAnsi" w:cstheme="minorBidi"/>
      <w:sz w:val="16"/>
      <w:szCs w:val="16"/>
    </w:rPr>
  </w:style>
  <w:style w:type="character" w:customStyle="1" w:styleId="3Char">
    <w:name w:val="正文文本缩进 3 Char"/>
    <w:link w:val="3"/>
    <w:rPr>
      <w:rFonts w:eastAsia="宋体"/>
      <w:sz w:val="16"/>
      <w:szCs w:val="16"/>
    </w:rPr>
  </w:style>
  <w:style w:type="character" w:customStyle="1" w:styleId="Char">
    <w:name w:val="正文文本缩进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"/>
    <w:link w:val="2"/>
    <w:rPr>
      <w:rFonts w:ascii="Times New Roman" w:eastAsia="宋体" w:hAnsi="Times New Roman" w:cs="Times New Roman"/>
      <w:szCs w:val="24"/>
    </w:rPr>
  </w:style>
  <w:style w:type="character" w:customStyle="1" w:styleId="31">
    <w:name w:val="正文文本缩进 3 字符1"/>
    <w:basedOn w:val="a0"/>
    <w:uiPriority w:val="99"/>
    <w:semiHidden/>
    <w:rPr>
      <w:rFonts w:ascii="Times New Roman" w:eastAsia="宋体" w:hAnsi="Times New Roman" w:cs="Times New Roman"/>
      <w:sz w:val="16"/>
      <w:szCs w:val="16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Dave</dc:creator>
  <cp:lastModifiedBy>江苏省血吸虫病防治研究所(填报)</cp:lastModifiedBy>
  <cp:revision>6</cp:revision>
  <cp:lastPrinted>2022-08-23T03:28:00Z</cp:lastPrinted>
  <dcterms:created xsi:type="dcterms:W3CDTF">2022-08-23T09:12:00Z</dcterms:created>
  <dcterms:modified xsi:type="dcterms:W3CDTF">2022-09-15T05:34:00Z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644CC0FE7B624DFD86A310174F8A9C7D</vt:lpwstr>
  </property>
</Properties>
</file>